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10.01.1989 in Hamburg, war vom 24.04.2022 bis zum 20.06.2023 als Elektriker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Elektriker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Montage und Inbetriebnahme von elektrischen Maschinen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Überwachung und Kontrolle von technischen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Messungen und Prüfungen an elektrischen Anlagen und Geräten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Beratung und Unterstützung bei der Optimierung von Energieeffizienzmaßnahmen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Bestellung und Beschaffung von Material und Ersatzteilen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 und Berichten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Wartung und Instandhaltung von elektrischen Anlagen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Fachkenntnisse. Sein Analyse- und Urteilsvermögen ermöglichte es Herrn Mustermann, in der Regel einfache Zusammenhänge zu erkennen. Herr Mustermann war stets bestrebt, sich leistungsfähig zu zeigen. Im Großen und Ganzen hat er seine Aufgaben verantwortungsbewusst erledigt. Er zeigte im Allgemeinen eine zufriedenstellende Arbeitsqualität. Herr Mustermann erfüllte oft die geforderte Leistungsbereitschaft und Eigeninitiative. Herr Mustermann hat seine Verantwortung nie aus den Augen verloren und trieb die Aufgaben, die wir ihm übertrugen, zu unserer Zufriedenheit voran.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Das persönliche Verhalten von Herrn Mustermann war im Wesentlichen einwandfrei. Seine Umgangsformen waren nicht zu beanstanden, so dass er bei unseren Kunden und Geschäftspartnern geschätzt war.</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wünschen Herrn Mustermann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