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Kellner im 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Servieren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Geldern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Gästen bei der Auswahl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Hygienevorschriften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Überprüfen und Abrechnen von Bestellungen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von Gästen bei nächtlicher Anreise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Bereitstellung von Informationen über Sehenswürdigkeiten und Aktivitäten in der Umgebung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zeichnete sich bei der Bearbeitung seiner Aufgaben durch das notwendige Fachwissen aus. Aufgrund seiner Auffassungsgabe überblickte er einfache Arbeitsabläufe sofort. Auch bei hoher Arbeitsbelastung bemühte er sich, gute Arbeitsergebnisse zu erzielen. Grundsätzlich strebte Herr Mustermann Sorgfalt und Systematik bei seiner Arbeitsweise an. Arbeitsmenge und Arbeitstempo entsprachen den Erwartungen. Er widmete sich seiner Arbeit mit Interesse und erzielte entsprechende Erfolge. Er entsprach im Wesentlichen den Anforderungen.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persönliches Verhalten genügte den Ansprüchen. Er wurde in unserem Unternehmen geschätzt. Die Wünsche unserer Kunden nahm er immer zur Kenntnis.</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Mit Wirkung zum 30.06.2023 wurde das Beschäftigungsverhältnis beendet. Wir wünschen Herrn Mustermann auch Erfolg für seinen beruflichen Lebensweg.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