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Service Mitarbeiter im Kundenservice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Bearbeitung von Kundenanfragen per Telefon, E-Mail oder Live-Chat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Dokumentationen und Anleitung für Kunden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Reklamations- und Retourenabwicklungen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Regelmäßiger Austausch mit Kunden bezüglich neuer Produkte oder Aktionen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Erstellung von Angeboten und Präsentationen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und Beratung von Handelspartnern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neuer Mitarbeiter im Kundenservice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Bestellung und Verwaltung von Verbrauchsmaterialien und Produkten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verfügt über fundierte Fachkenntnisse, die sich auch auf Nebenbereiche erstrecken und die er jederzeit absolut sicher, umsichtig und zielgerichtet in der Praxis anwendete. Seine schnelle Auffassungsgabe und sein gutes Denkvermögen führten dazu, dass er sich schnell in die unterschiedlichsten Aufgabenfelder einarbeiten und diese zunehmend selbständiger bewältigen konnte. Dank seiner Ausdauer und seiner positiven Arbeitseinstellung zeigte er sich auch starkem Arbeitsanfall jederzeit gewachsen. Im Rahmen seiner Tätigkeit hat Herr Mustermann seine Aufgaben stets selbständig und mit einem großen Maß an Genauigkeit und Sorgfalt ausgeführt. Der hohe Standard seiner Arbeit übertraf unsere Erwartungen bei weitem. Herr Mustermann war ein motivierter Mitarbeiter, der die ihm gesetzten Ziele realisierte. Herr Mustermann erledigte seine Aufgaben in lobenswerter Weise. Mit seinen Leistungen waren wir stets voll zufrieden. Er erweiterte ständig in Eigeninitiative zum Nutzen des Unternehmens seine Kenntnisse und besitzt daher ein detailliertes Fachwissen. Zu betonen sind die sehr guten und anwendungssicheren Sprachkenntnisse des Herrn Mustermann. Mit den modernen PC-Anwendungen, insbesondere im Bereich Textverarbeitungs- und Kommunikationstechnik, war Herr Mustermann bestens vertraut. Seine angenehmen Umgangsformen perfektionierte Herr Mustermann durch sein sicheres Auftreten.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Herr Mustermann wurde von Vorgesetzten, Kollegen und Mitarbeitern als fleißiger und freundlicher Mitarbeiter allzeit geschätzt. Von Geschäftspartnern und Kunden wurde er wegen seines ausgezeichneten Engagements und seiner Freundlichkeit stets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Wir stehen Herrn Mustermann jederzeit gerne als Referenzgeber zur Verfügung. Auf eigenen Wunsch verlässt uns Herr Mustermann zum 30.06.2023. Wir danken Herrn Mustermann für sein vorbildliches Engagement in unserem Unternehmen. Für die Zukunft wünschen wir diesem jungen und vorwärts strebenden Menschen alles Gute und beruflich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