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vom 15.06.2021 bis zum 20.06.2023 in unserem Unternehmen in der Cybersicherheit am Standort Hamburg als Softwareentwickler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Herrn Mustermanns Aufgabenbereich als Softwareentwickler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Instandhaltung und Aktualisierung von Software-Systemen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technischen Dokumentationen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Mitwirkung bei der Planung und Konzeption neuer Projekte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Code-Reviews und Implementierung von Best Practices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Kreative Problemlösung bei technischen Herausforderungen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Fehlerbehebung und Debugging von Code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Verfolgung neuester Technologietrends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erwies sich als stets engagiert und ist aufgrund seiner guten fachlichen Fähigkeiten vielseitig einsetzbar. In neuen Situationen fand sich Herr Mustermann gut zurecht. Selbst hohen Belastungen entsprach Herr Mustermann oft. Herr Mustermann ging planvoll, systematisch und ergebnisorientiert vor. Die Arbeitsqualität lag jederzeit weit über den Anforderungen. Herr Mustermann hatte eine voll befriedigende Arbeitsmoral. Seine Aufgaben hat Herr Mustermann zu unserer vollen Zufriedenheit erfüllt und unseren Anforderungen jederzeit entsprochen. Die IT-Kenntnisse des Herrn Mustermann waren stets auf dem allerneuesten Stand. Herr Mustermann hat an den vom Unternehmen angebotenen Weiterbildungsmöglichkeiten teilgenommen. Sein herausragendes technisches Verständnis machte Herrn Mustermann in unserem Hause zu einem gesuchten und allzeit geschätzten Ansprechpartner bei allen technischen Fragen. Wir möchten sehr gerne seine sehr gute Arbeit im Projekt SentinelShield hervorheben.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Wegen seiner kooperativen und hilfsbereiten Art war Herr Mustermann seinen Vorgesetzten eine wertvolle Stütze und den Kollegen und Mitarbeitern ein geschätzter Partner. Durch seine freundliche, zuvorkommende Art trug er zu einer guten Präsentation unseres Unternehmens bei.</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Herr Mustermann verlässt unser Unternehmen auf eigenen Wunsch. Wir danken ihm für seine Leistungen und die angenehme Zusammenarbeit. Für seine berufliche Entwicklung wünschen wir ihm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Anna Weimer</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Philip Drengenberg</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